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colleague,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 is a list of the referrals i’ve made at your practice today.</w:t>
      </w:r>
    </w:p>
    <w:tbl>
      <w:tblPr>
        <w:tblStyle w:val="Table1"/>
        <w:tblW w:w="156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65"/>
        <w:gridCol w:w="3690"/>
        <w:gridCol w:w="5775"/>
        <w:gridCol w:w="360"/>
        <w:gridCol w:w="360"/>
        <w:gridCol w:w="360"/>
        <w:gridCol w:w="360"/>
        <w:gridCol w:w="360"/>
        <w:gridCol w:w="360"/>
        <w:tblGridChange w:id="0">
          <w:tblGrid>
            <w:gridCol w:w="4065"/>
            <w:gridCol w:w="3690"/>
            <w:gridCol w:w="5775"/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Patient’s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Identifier (NHS, computer or DOB)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2/52 rule;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urgent;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routine;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private;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fax;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already actioned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letter is accompanied by a cassette.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9"/>
        <w:jc w:val="lef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I’ve submitted my dictation electronically.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ensure my full professional name and registered qualifications accompany all referral letters. If a review of any of my referrals leads to a change in destination or purpose, please let me know.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 [your first name] [your last name]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[your professional qualifications]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34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NASGP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www.nasgp.org.uk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5630.0" w:type="dxa"/>
      <w:jc w:val="left"/>
      <w:tblInd w:w="0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1430"/>
      <w:gridCol w:w="4200"/>
      <w:tblGridChange w:id="0">
        <w:tblGrid>
          <w:gridCol w:w="11430"/>
          <w:gridCol w:w="4200"/>
        </w:tblGrid>
      </w:tblGridChange>
    </w:tblGrid>
    <w:tr>
      <w:tc>
        <w:tcPr>
          <w:shd w:fill="efefef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F">
          <w:pPr>
            <w:pStyle w:val="Title"/>
            <w:spacing w:line="240" w:lineRule="auto"/>
            <w:rPr/>
          </w:pPr>
          <w:r w:rsidDel="00000000" w:rsidR="00000000" w:rsidRPr="00000000">
            <w:rPr>
              <w:rtl w:val="0"/>
            </w:rPr>
            <w:t xml:space="preserve">Dictation referral memo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pStyle w:val="Subtitle"/>
            <w:spacing w:line="240" w:lineRule="auto"/>
            <w:rPr/>
          </w:pPr>
          <w:r w:rsidDel="00000000" w:rsidR="00000000" w:rsidRPr="00000000">
            <w:rPr>
              <w:rtl w:val="0"/>
            </w:rPr>
            <w:t xml:space="preserve">Part of the NASGP Toolkit</w:t>
          </w:r>
        </w:p>
      </w:tc>
      <w:tc>
        <w:tcPr>
          <w:shd w:fill="efefef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2116138" cy="61436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138" cy="6143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asgp.org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